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FA01" w14:textId="77777777" w:rsidR="001004C1" w:rsidRPr="001004C1" w:rsidRDefault="001004C1" w:rsidP="001004C1">
      <w:pPr>
        <w:shd w:val="clear" w:color="auto" w:fill="FFFFFF"/>
        <w:spacing w:after="480" w:line="630" w:lineRule="atLeast"/>
        <w:outlineLvl w:val="1"/>
        <w:rPr>
          <w:rFonts w:ascii="Open Sans" w:eastAsia="Times New Roman" w:hAnsi="Open Sans" w:cs="Open Sans"/>
          <w:color w:val="333333"/>
          <w:spacing w:val="-15"/>
          <w:kern w:val="0"/>
          <w:sz w:val="53"/>
          <w:szCs w:val="53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color w:val="333333"/>
          <w:spacing w:val="-15"/>
          <w:kern w:val="0"/>
          <w:sz w:val="53"/>
          <w:szCs w:val="53"/>
          <w:lang w:eastAsia="es-ES_tradnl"/>
          <w14:ligatures w14:val="none"/>
        </w:rPr>
        <w:t>Órganos a los que están adscritos, recursos que financian sus actividades, régimen presupuestario y contable</w:t>
      </w:r>
    </w:p>
    <w:p w14:paraId="7612B521" w14:textId="77777777" w:rsidR="001004C1" w:rsidRPr="001004C1" w:rsidRDefault="001004C1" w:rsidP="001004C1">
      <w:pPr>
        <w:shd w:val="clear" w:color="auto" w:fill="FFFFFF"/>
        <w:spacing w:after="300" w:line="360" w:lineRule="atLeast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i/>
          <w:iCs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Última actualización </w:t>
      </w:r>
      <w:r w:rsidRPr="001004C1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marzo 2023 - </w:t>
      </w:r>
      <w:r w:rsidRPr="001004C1">
        <w:rPr>
          <w:rFonts w:ascii="Open Sans" w:eastAsia="Times New Roman" w:hAnsi="Open Sans" w:cs="Open Sans"/>
          <w:i/>
          <w:iCs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Información</w:t>
      </w:r>
      <w:r w:rsidRPr="001004C1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 </w:t>
      </w:r>
      <w:proofErr w:type="gramStart"/>
      <w:r w:rsidRPr="001004C1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Diciembre</w:t>
      </w:r>
      <w:proofErr w:type="gramEnd"/>
      <w:r w:rsidRPr="001004C1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 xml:space="preserve"> 2022</w:t>
      </w:r>
    </w:p>
    <w:p w14:paraId="46BB98BE" w14:textId="77777777" w:rsidR="001004C1" w:rsidRPr="001004C1" w:rsidRDefault="001004C1" w:rsidP="001004C1">
      <w:pPr>
        <w:spacing w:before="330" w:after="33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_tradnl"/>
          <w14:ligatures w14:val="none"/>
        </w:rPr>
      </w:pPr>
      <w:r w:rsidRPr="001004C1">
        <w:rPr>
          <w:rFonts w:ascii="Times New Roman" w:eastAsia="Times New Roman" w:hAnsi="Times New Roman" w:cs="Times New Roman"/>
          <w:kern w:val="0"/>
          <w:sz w:val="24"/>
          <w:szCs w:val="24"/>
          <w:lang w:eastAsia="es-ES_tradnl"/>
          <w14:ligatures w14:val="none"/>
        </w:rPr>
        <w:pict w14:anchorId="123275C0">
          <v:rect id="_x0000_i1025" style="width:0;height:.75pt" o:hralign="center" o:hrstd="t" o:hrnoshade="t" o:hr="t" fillcolor="#333" stroked="f"/>
        </w:pict>
      </w:r>
    </w:p>
    <w:p w14:paraId="25DF7E47" w14:textId="77777777" w:rsidR="001004C1" w:rsidRPr="001004C1" w:rsidRDefault="001004C1" w:rsidP="001004C1">
      <w:pPr>
        <w:shd w:val="clear" w:color="auto" w:fill="FFFFFF"/>
        <w:spacing w:after="210" w:line="405" w:lineRule="atLeast"/>
        <w:outlineLvl w:val="3"/>
        <w:rPr>
          <w:rFonts w:ascii="Open Sans" w:eastAsia="Times New Roman" w:hAnsi="Open Sans" w:cs="Open Sans"/>
          <w:color w:val="333333"/>
          <w:kern w:val="0"/>
          <w:sz w:val="34"/>
          <w:szCs w:val="34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color w:val="333333"/>
          <w:kern w:val="0"/>
          <w:sz w:val="34"/>
          <w:szCs w:val="34"/>
          <w:lang w:eastAsia="es-ES_tradnl"/>
          <w14:ligatures w14:val="none"/>
        </w:rPr>
        <w:t>Organismo Autónomo:</w:t>
      </w:r>
    </w:p>
    <w:p w14:paraId="09FC27B0" w14:textId="77777777" w:rsidR="001004C1" w:rsidRPr="001004C1" w:rsidRDefault="001004C1" w:rsidP="00100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s-ES_tradnl"/>
          <w14:ligatures w14:val="none"/>
        </w:rPr>
        <w:t>Gerencia Municipal de Urbanismo de Santa Cruz de Tenerife</w:t>
      </w:r>
    </w:p>
    <w:p w14:paraId="298B3FC3" w14:textId="77777777" w:rsidR="001004C1" w:rsidRPr="001004C1" w:rsidRDefault="001004C1" w:rsidP="001004C1">
      <w:pPr>
        <w:shd w:val="clear" w:color="auto" w:fill="FFFFFF"/>
        <w:spacing w:after="210" w:line="405" w:lineRule="atLeast"/>
        <w:outlineLvl w:val="3"/>
        <w:rPr>
          <w:rFonts w:ascii="Open Sans" w:eastAsia="Times New Roman" w:hAnsi="Open Sans" w:cs="Open Sans"/>
          <w:color w:val="333333"/>
          <w:kern w:val="0"/>
          <w:sz w:val="34"/>
          <w:szCs w:val="34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color w:val="333333"/>
          <w:kern w:val="0"/>
          <w:sz w:val="34"/>
          <w:szCs w:val="34"/>
          <w:lang w:eastAsia="es-ES_tradnl"/>
          <w14:ligatures w14:val="none"/>
        </w:rPr>
        <w:t>Órganos de relevancia estatutaria:</w:t>
      </w:r>
    </w:p>
    <w:p w14:paraId="5E19F7DA" w14:textId="77777777" w:rsidR="001004C1" w:rsidRPr="001004C1" w:rsidRDefault="001004C1" w:rsidP="001004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hyperlink r:id="rId5" w:tgtFrame="_blank" w:history="1">
        <w:r w:rsidRPr="001004C1">
          <w:rPr>
            <w:rFonts w:ascii="Open Sans" w:eastAsia="Times New Roman" w:hAnsi="Open Sans" w:cs="Open Sans"/>
            <w:color w:val="3F8FCF"/>
            <w:kern w:val="0"/>
            <w:sz w:val="21"/>
            <w:szCs w:val="21"/>
            <w:u w:val="single"/>
            <w:lang w:eastAsia="es-ES_tradnl"/>
            <w14:ligatures w14:val="none"/>
          </w:rPr>
          <w:t>Consejo Rector</w:t>
        </w:r>
      </w:hyperlink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 xml:space="preserve">, Consejo </w:t>
      </w:r>
      <w:proofErr w:type="gramStart"/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Director</w:t>
      </w:r>
      <w:proofErr w:type="gramEnd"/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 xml:space="preserve"> y Gerente (Artículo 5 de los Estatutos)</w:t>
      </w:r>
    </w:p>
    <w:p w14:paraId="25464222" w14:textId="77777777" w:rsidR="001004C1" w:rsidRPr="001004C1" w:rsidRDefault="001004C1" w:rsidP="001004C1">
      <w:pPr>
        <w:shd w:val="clear" w:color="auto" w:fill="FFFFFF"/>
        <w:spacing w:after="210" w:line="405" w:lineRule="atLeast"/>
        <w:outlineLvl w:val="3"/>
        <w:rPr>
          <w:rFonts w:ascii="Open Sans" w:eastAsia="Times New Roman" w:hAnsi="Open Sans" w:cs="Open Sans"/>
          <w:color w:val="333333"/>
          <w:kern w:val="0"/>
          <w:sz w:val="34"/>
          <w:szCs w:val="34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color w:val="333333"/>
          <w:kern w:val="0"/>
          <w:sz w:val="34"/>
          <w:szCs w:val="34"/>
          <w:lang w:eastAsia="es-ES_tradnl"/>
          <w14:ligatures w14:val="none"/>
        </w:rPr>
        <w:t>Recursos que financian sus actividades:</w:t>
      </w:r>
    </w:p>
    <w:p w14:paraId="1363E753" w14:textId="77777777" w:rsidR="001004C1" w:rsidRPr="001004C1" w:rsidRDefault="001004C1" w:rsidP="001004C1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hyperlink r:id="rId6" w:tgtFrame="_blank" w:history="1">
        <w:r w:rsidRPr="001004C1">
          <w:rPr>
            <w:rFonts w:ascii="Open Sans" w:eastAsia="Times New Roman" w:hAnsi="Open Sans" w:cs="Open Sans"/>
            <w:color w:val="FFFFFF"/>
            <w:kern w:val="0"/>
            <w:sz w:val="18"/>
            <w:szCs w:val="18"/>
            <w:u w:val="single"/>
            <w:bdr w:val="single" w:sz="6" w:space="1" w:color="E1609F" w:frame="1"/>
            <w:shd w:val="clear" w:color="auto" w:fill="E1609F"/>
            <w:lang w:eastAsia="es-ES_tradnl"/>
            <w14:ligatures w14:val="none"/>
          </w:rPr>
          <w:t> Descarga Financiación de Actividades</w:t>
        </w:r>
      </w:hyperlink>
    </w:p>
    <w:p w14:paraId="2AAE75A5" w14:textId="77777777" w:rsidR="001004C1" w:rsidRDefault="001004C1" w:rsidP="001004C1">
      <w:pPr>
        <w:shd w:val="clear" w:color="auto" w:fill="FFFFFF"/>
        <w:spacing w:after="210" w:line="405" w:lineRule="atLeast"/>
        <w:outlineLvl w:val="3"/>
        <w:rPr>
          <w:rFonts w:ascii="Open Sans" w:eastAsia="Times New Roman" w:hAnsi="Open Sans" w:cs="Open Sans"/>
          <w:color w:val="333333"/>
          <w:kern w:val="0"/>
          <w:sz w:val="34"/>
          <w:szCs w:val="34"/>
          <w:lang w:eastAsia="es-ES_tradnl"/>
          <w14:ligatures w14:val="none"/>
        </w:rPr>
      </w:pPr>
    </w:p>
    <w:p w14:paraId="7AAE0DE0" w14:textId="2564E4E9" w:rsidR="001004C1" w:rsidRPr="001004C1" w:rsidRDefault="001004C1" w:rsidP="001004C1">
      <w:pPr>
        <w:shd w:val="clear" w:color="auto" w:fill="FFFFFF"/>
        <w:spacing w:after="210" w:line="405" w:lineRule="atLeast"/>
        <w:outlineLvl w:val="3"/>
        <w:rPr>
          <w:rFonts w:ascii="Open Sans" w:eastAsia="Times New Roman" w:hAnsi="Open Sans" w:cs="Open Sans"/>
          <w:color w:val="333333"/>
          <w:kern w:val="0"/>
          <w:sz w:val="34"/>
          <w:szCs w:val="34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color w:val="333333"/>
          <w:kern w:val="0"/>
          <w:sz w:val="34"/>
          <w:szCs w:val="34"/>
          <w:lang w:eastAsia="es-ES_tradnl"/>
          <w14:ligatures w14:val="none"/>
        </w:rPr>
        <w:t>Régimen Presupuestario:</w:t>
      </w:r>
    </w:p>
    <w:p w14:paraId="02574975" w14:textId="77777777" w:rsidR="001004C1" w:rsidRPr="001004C1" w:rsidRDefault="001004C1" w:rsidP="001004C1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 xml:space="preserve">Se realiza teniendo en cuenta la naturaleza económica de los ingresos y de los gastos, así como las finalidades u objetivos que con estos últimos se propongan conseguir, de conformidad con </w:t>
      </w:r>
      <w:proofErr w:type="spellStart"/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el</w:t>
      </w:r>
      <w:proofErr w:type="spellEnd"/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 </w:t>
      </w:r>
      <w:hyperlink r:id="rId7" w:anchor="a167" w:tgtFrame="_blank" w:history="1">
        <w:r w:rsidRPr="001004C1">
          <w:rPr>
            <w:rFonts w:ascii="Open Sans" w:eastAsia="Times New Roman" w:hAnsi="Open Sans" w:cs="Open Sans"/>
            <w:color w:val="3F8FCF"/>
            <w:kern w:val="0"/>
            <w:sz w:val="21"/>
            <w:szCs w:val="21"/>
            <w:u w:val="single"/>
            <w:lang w:eastAsia="es-ES_tradnl"/>
            <w14:ligatures w14:val="none"/>
          </w:rPr>
          <w:t>art. 167.1 del texto refundido de la Ley Reguladora de las Haciendas Locales, aprobado por Real Decreto Legislativo 2/2004, de 5 de marzo</w:t>
        </w:r>
      </w:hyperlink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, y dando cumplimiento a la </w:t>
      </w:r>
      <w:hyperlink r:id="rId8" w:anchor="da6" w:tgtFrame="_blank" w:history="1">
        <w:r w:rsidRPr="001004C1">
          <w:rPr>
            <w:rFonts w:ascii="Open Sans" w:eastAsia="Times New Roman" w:hAnsi="Open Sans" w:cs="Open Sans"/>
            <w:color w:val="3F8FCF"/>
            <w:kern w:val="0"/>
            <w:sz w:val="21"/>
            <w:szCs w:val="21"/>
            <w:u w:val="single"/>
            <w:lang w:eastAsia="es-ES_tradnl"/>
            <w14:ligatures w14:val="none"/>
          </w:rPr>
          <w:t>disposición adicional sexta del texto refundido de la Ley Reguladora de las Haciendas Locales</w:t>
        </w:r>
      </w:hyperlink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 xml:space="preserve">; se enmarca conforme a lo dispuesto en la Orden HAP/419/2014, de 14 de </w:t>
      </w: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lastRenderedPageBreak/>
        <w:t>marzo, por la que se modifica la Orden EHA/3565/2008, de 3 de diciembre, por la que se aprueba la estructura de los presupuestos de las entidades locales, el Real Decreto Legislativo 2/2004, de 5 de marzo por el que se aprueba el texto refundido de la Ley Reguladora de las Haciendas Locales y el Real Decreto 500/1990, de 20 de abril, por el que se desarrolla el Capítulo Primero del Título Sexto de la Ley 39/1988, de 28 de diciembre, reguladora de las Haciendas Locales, en materia de Presupuestos.</w:t>
      </w:r>
    </w:p>
    <w:p w14:paraId="69A9C360" w14:textId="77777777" w:rsidR="001004C1" w:rsidRPr="001004C1" w:rsidRDefault="001004C1" w:rsidP="001004C1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s-ES_tradnl"/>
          <w14:ligatures w14:val="none"/>
        </w:rPr>
        <w:t>1. Estado de Gastos</w:t>
      </w:r>
    </w:p>
    <w:p w14:paraId="30B92AB8" w14:textId="77777777" w:rsidR="001004C1" w:rsidRPr="001004C1" w:rsidRDefault="001004C1" w:rsidP="001004C1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Se ajusta a una triple clasificación por unidades orgánicas, por programas y por categorías económicas, siguiendo el criterio municipal.</w:t>
      </w:r>
    </w:p>
    <w:p w14:paraId="4AA8B474" w14:textId="77777777" w:rsidR="001004C1" w:rsidRPr="001004C1" w:rsidRDefault="001004C1" w:rsidP="001004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s-ES_tradnl"/>
          <w14:ligatures w14:val="none"/>
        </w:rPr>
        <w:t>Clasificación orgánica</w:t>
      </w:r>
    </w:p>
    <w:p w14:paraId="451F974A" w14:textId="77777777" w:rsidR="001004C1" w:rsidRPr="001004C1" w:rsidRDefault="001004C1" w:rsidP="001004C1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 xml:space="preserve">La clasificación orgánica, (5 dígitos), se enmarca dentro de la clasificación propuesta por la Dirección General de Gestión Presupuestaria del Excmo. Ayuntamiento a tenor de lo dispuesto por el Decreto del Excmo. Sr. </w:t>
      </w:r>
      <w:proofErr w:type="gramStart"/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Alcalde</w:t>
      </w:r>
      <w:proofErr w:type="gramEnd"/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, de fecha 27 de julio de 2015, por el que se aprueba la estructura organizativa de órganos directivos y unidades de la administración del Excmo. Ayuntamiento, en desarrollo del acuerdo Plenario de fecha 17 de julio de 2015.</w:t>
      </w:r>
    </w:p>
    <w:p w14:paraId="67FBC0DB" w14:textId="221B7B14" w:rsidR="001004C1" w:rsidRPr="001004C1" w:rsidRDefault="001004C1" w:rsidP="001004C1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 xml:space="preserve">La clasificación orgánica está formada por cinco dígitos alfanuméricos, de los cuales, el primero es una letra que identifica al </w:t>
      </w: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concejal</w:t>
      </w: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 xml:space="preserve"> responsable, el segundo se refiere al Área de Gobierno a la que pertenece el Servicio y los tres siguientes identifican el Servicio administrativo al que se destina la consignación.</w:t>
      </w:r>
    </w:p>
    <w:p w14:paraId="40227CA2" w14:textId="77777777" w:rsidR="001004C1" w:rsidRPr="001004C1" w:rsidRDefault="001004C1" w:rsidP="001004C1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Dentro de esta nueva estructura organizativa municipal, la clasificación orgánica que se propone en el Proyecto de Presupuesto de la Gerencia Municipal de Urbanismo es:</w:t>
      </w:r>
    </w:p>
    <w:p w14:paraId="06141BFC" w14:textId="77777777" w:rsidR="001004C1" w:rsidRPr="001004C1" w:rsidRDefault="001004C1" w:rsidP="001004C1">
      <w:pPr>
        <w:shd w:val="clear" w:color="auto" w:fill="FFFFFF"/>
        <w:spacing w:after="300" w:line="360" w:lineRule="atLeast"/>
        <w:jc w:val="righ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s-ES_tradnl"/>
          <w14:ligatures w14:val="none"/>
        </w:rPr>
        <w:t>T7335 </w:t>
      </w:r>
      <w:r w:rsidRPr="001004C1">
        <w:rPr>
          <w:rFonts w:ascii="Open Sans" w:eastAsia="Times New Roman" w:hAnsi="Open Sans" w:cs="Open Sans"/>
          <w:i/>
          <w:iCs/>
          <w:color w:val="333333"/>
          <w:kern w:val="0"/>
          <w:sz w:val="21"/>
          <w:szCs w:val="21"/>
          <w:lang w:eastAsia="es-ES_tradnl"/>
          <w14:ligatures w14:val="none"/>
        </w:rPr>
        <w:t>ORGANISMO AUTÓNOMO GERENCIA MUNICPAL DE URBANISMO.</w:t>
      </w:r>
    </w:p>
    <w:p w14:paraId="4C8250D0" w14:textId="77777777" w:rsidR="001004C1" w:rsidRPr="001004C1" w:rsidRDefault="001004C1" w:rsidP="001004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s-ES_tradnl"/>
          <w14:ligatures w14:val="none"/>
        </w:rPr>
        <w:t>Clasificación de Programas</w:t>
      </w:r>
    </w:p>
    <w:p w14:paraId="3E63133B" w14:textId="77777777" w:rsidR="001004C1" w:rsidRPr="001004C1" w:rsidRDefault="001004C1" w:rsidP="001004C1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Los créditos de la Estructura de gastos quedan ordenados según su finalidad y los objetivos que con ellos se pretende conseguir con arreglo a la clasificación por grupo de programas.</w:t>
      </w:r>
    </w:p>
    <w:p w14:paraId="79E585D6" w14:textId="77777777" w:rsidR="001004C1" w:rsidRPr="001004C1" w:rsidRDefault="001004C1" w:rsidP="001004C1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 xml:space="preserve">La clasificación por programas se detalla a nivel de 5 dígitos. Atendiendo a la finalidad de los créditos y a los objetivos que con los mismos se pretende alcanzar, los créditos </w:t>
      </w: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lastRenderedPageBreak/>
        <w:t>del estado de gastos se clasifican por área de gasto, política de gasto, grupo de programa, programa y subprograma.</w:t>
      </w:r>
    </w:p>
    <w:p w14:paraId="754C66EA" w14:textId="4FC228B3" w:rsidR="001004C1" w:rsidRPr="001004C1" w:rsidRDefault="001004C1" w:rsidP="001004C1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 xml:space="preserve">De tal modo </w:t>
      </w: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que,</w:t>
      </w: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 xml:space="preserve"> en esta clasificación por programa, el Estado de Gastos del Presupuesto de la Gerencia Municipal de Urbanismo para el </w:t>
      </w:r>
      <w:r w:rsidRPr="001004C1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s-ES_tradnl"/>
          <w14:ligatures w14:val="none"/>
        </w:rPr>
        <w:t>Ejercicio 2023</w:t>
      </w: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, se ha contenido conforme se indica en el siguiente cuadro: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5780"/>
        <w:gridCol w:w="1692"/>
      </w:tblGrid>
      <w:tr w:rsidR="001004C1" w:rsidRPr="001004C1" w14:paraId="745374B6" w14:textId="77777777" w:rsidTr="001004C1">
        <w:trPr>
          <w:tblHeader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508BC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Programa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CD32A" w14:textId="77777777" w:rsidR="001004C1" w:rsidRPr="001004C1" w:rsidRDefault="001004C1" w:rsidP="001004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Descripción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DB4F1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Créditos Iniciales</w:t>
            </w:r>
          </w:p>
        </w:tc>
      </w:tr>
      <w:tr w:rsidR="001004C1" w:rsidRPr="001004C1" w14:paraId="61038235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1714A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15000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3F16E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Administración General de Vivienda y Urbanismo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20917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2.037.900,00 €</w:t>
            </w:r>
          </w:p>
        </w:tc>
      </w:tr>
      <w:tr w:rsidR="001004C1" w:rsidRPr="001004C1" w14:paraId="0540B4B9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716B3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15035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EBD00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Administración General de Urbanismo: Dirección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57905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303.800,00 €</w:t>
            </w:r>
          </w:p>
        </w:tc>
      </w:tr>
      <w:tr w:rsidR="001004C1" w:rsidRPr="001004C1" w14:paraId="76E60D81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1D315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15037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B971C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Administración General de Urbanismo: Innovación y Atención Ciudadana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0D5C7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759.400,00 €</w:t>
            </w:r>
          </w:p>
        </w:tc>
      </w:tr>
      <w:tr w:rsidR="001004C1" w:rsidRPr="001004C1" w14:paraId="361B3410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10260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15038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50819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Administración General de Urbanismo: Régimen General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47E39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1.342.700,00 €</w:t>
            </w:r>
          </w:p>
        </w:tc>
      </w:tr>
      <w:tr w:rsidR="001004C1" w:rsidRPr="001004C1" w14:paraId="3BEB36DC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91E1B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15039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4D8EA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 xml:space="preserve">Administración General de Urbanismo: Secretaría </w:t>
            </w:r>
            <w:proofErr w:type="gramStart"/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Delegada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23A16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125.700,00 €</w:t>
            </w:r>
          </w:p>
        </w:tc>
      </w:tr>
      <w:tr w:rsidR="001004C1" w:rsidRPr="001004C1" w14:paraId="35C8A6CC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459BB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15100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34389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 xml:space="preserve">Urbanismo: Planeamiento, </w:t>
            </w:r>
            <w:proofErr w:type="gramStart"/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Gestión ,</w:t>
            </w:r>
            <w:proofErr w:type="gramEnd"/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 xml:space="preserve"> Ejecución y Disciplina Urb.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2A820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2.113.800,00 €</w:t>
            </w:r>
          </w:p>
        </w:tc>
      </w:tr>
      <w:tr w:rsidR="001004C1" w:rsidRPr="001004C1" w14:paraId="0B69EE03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3AB69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15133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3CA0A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Urbanismo: Disciplina Urbanística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AB4E2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872.200,00 €</w:t>
            </w:r>
          </w:p>
        </w:tc>
      </w:tr>
      <w:tr w:rsidR="001004C1" w:rsidRPr="001004C1" w14:paraId="52AF6042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CAD7F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15134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8DB1F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Urbanismo: Gestión de Licencias de Obras y Actividades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B0302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1.149.000,00 €</w:t>
            </w:r>
          </w:p>
        </w:tc>
      </w:tr>
      <w:tr w:rsidR="001004C1" w:rsidRPr="001004C1" w14:paraId="32B06CEC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C9979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15136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87419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Urbanismo: Elaboración, Gestión y Ejecución de Planeamiento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AC550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1.315.500,00 €</w:t>
            </w:r>
          </w:p>
        </w:tc>
      </w:tr>
      <w:tr w:rsidR="001004C1" w:rsidRPr="001004C1" w14:paraId="509F7102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F71ED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15312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262EB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Otras actuaciones en vías públicas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9B8B2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40.000,00 €</w:t>
            </w:r>
          </w:p>
        </w:tc>
      </w:tr>
      <w:tr w:rsidR="001004C1" w:rsidRPr="001004C1" w14:paraId="25DEC990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F4CBF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FE7E5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011FB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10.060.000,00 €</w:t>
            </w:r>
          </w:p>
        </w:tc>
      </w:tr>
    </w:tbl>
    <w:p w14:paraId="6EE76B0F" w14:textId="3AF5209B" w:rsidR="001004C1" w:rsidRPr="001004C1" w:rsidRDefault="001004C1" w:rsidP="001004C1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 xml:space="preserve">De tal modo </w:t>
      </w: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que,</w:t>
      </w: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 xml:space="preserve"> en esta clasificación por programa, el Estado de Gastos del Presupuesto de la Gerencia Municipal de Urbanismo para el </w:t>
      </w:r>
      <w:r w:rsidRPr="001004C1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s-ES_tradnl"/>
          <w14:ligatures w14:val="none"/>
        </w:rPr>
        <w:t>Ejercicio 2022 </w:t>
      </w:r>
      <w:r w:rsidRPr="001004C1">
        <w:rPr>
          <w:rFonts w:ascii="Open Sans" w:eastAsia="Times New Roman" w:hAnsi="Open Sans" w:cs="Open Sans"/>
          <w:i/>
          <w:iCs/>
          <w:color w:val="333333"/>
          <w:kern w:val="0"/>
          <w:sz w:val="21"/>
          <w:szCs w:val="21"/>
          <w:lang w:eastAsia="es-ES_tradnl"/>
          <w14:ligatures w14:val="none"/>
        </w:rPr>
        <w:t>(Se mantiene esta información a efectos del Comisionado de Transparencia de Canarias)</w:t>
      </w: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, se ha contenido conforme se indica en el siguiente cuadro: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5806"/>
        <w:gridCol w:w="1666"/>
      </w:tblGrid>
      <w:tr w:rsidR="001004C1" w:rsidRPr="001004C1" w14:paraId="7BAFFA9D" w14:textId="77777777" w:rsidTr="001004C1">
        <w:trPr>
          <w:tblHeader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2FECF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Programa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61573" w14:textId="77777777" w:rsidR="001004C1" w:rsidRPr="001004C1" w:rsidRDefault="001004C1" w:rsidP="001004C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Descripción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1DD35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Créditos Iniciales</w:t>
            </w:r>
          </w:p>
        </w:tc>
      </w:tr>
      <w:tr w:rsidR="001004C1" w:rsidRPr="001004C1" w14:paraId="511928C3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E5A5D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15000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D690A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Administración General de Vivienda y Urbanismo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39ADF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2.700.960,00 €</w:t>
            </w:r>
          </w:p>
        </w:tc>
      </w:tr>
      <w:tr w:rsidR="001004C1" w:rsidRPr="001004C1" w14:paraId="551DA34D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DB32E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15035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FCC98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Administración General de Urbanismo: Dirección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8B7BD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213.900,00 €</w:t>
            </w:r>
          </w:p>
        </w:tc>
      </w:tr>
      <w:tr w:rsidR="001004C1" w:rsidRPr="001004C1" w14:paraId="48C25168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EB269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15037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F667F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Administración General de Urbanismo: Innovación y Atención Ciudadana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BF5D3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735.990,00 €</w:t>
            </w:r>
          </w:p>
        </w:tc>
      </w:tr>
      <w:tr w:rsidR="001004C1" w:rsidRPr="001004C1" w14:paraId="12AE636D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9CDA2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15038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2B6C4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Administración General de Urbanismo: Régimen General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A3ACB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1.298.190,00 €</w:t>
            </w:r>
          </w:p>
        </w:tc>
      </w:tr>
      <w:tr w:rsidR="001004C1" w:rsidRPr="001004C1" w14:paraId="6AEC1675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912BB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15039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06A60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 xml:space="preserve">Administración General de Urbanismo: Secretaría </w:t>
            </w:r>
            <w:proofErr w:type="gramStart"/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Delegada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DA192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121.070,00 €</w:t>
            </w:r>
          </w:p>
        </w:tc>
      </w:tr>
      <w:tr w:rsidR="001004C1" w:rsidRPr="001004C1" w14:paraId="6E151DAF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67E16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15100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00E4D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 xml:space="preserve">Urbanismo: Planeamiento, </w:t>
            </w:r>
            <w:proofErr w:type="gramStart"/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Gestión ,</w:t>
            </w:r>
            <w:proofErr w:type="gramEnd"/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 xml:space="preserve"> Ejecución y Disciplina Urb.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160A3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1.179.000,00 €</w:t>
            </w:r>
          </w:p>
        </w:tc>
      </w:tr>
      <w:tr w:rsidR="001004C1" w:rsidRPr="001004C1" w14:paraId="6CCD13E4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0C5ED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15133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5D89B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Urbanismo: Disciplina Urbanística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3A566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811.680,00 €</w:t>
            </w:r>
          </w:p>
        </w:tc>
      </w:tr>
      <w:tr w:rsidR="001004C1" w:rsidRPr="001004C1" w14:paraId="3A6F8396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109DE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15134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43CD2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Urbanismo: Gestión de Licencias de Obras y Actividades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E46D0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1.201.940,00 €</w:t>
            </w:r>
          </w:p>
        </w:tc>
      </w:tr>
      <w:tr w:rsidR="001004C1" w:rsidRPr="001004C1" w14:paraId="0CD5AE7F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7EC27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15136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B8C21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Urbanismo: Elaboración, Gestión y Ejecución de Planeamiento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BA069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1.182.270,00 €</w:t>
            </w:r>
          </w:p>
        </w:tc>
      </w:tr>
      <w:tr w:rsidR="001004C1" w:rsidRPr="001004C1" w14:paraId="5DB50467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3E326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15312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E1EAB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Otras actuaciones en vías públicas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B5553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180.000,00 €</w:t>
            </w:r>
          </w:p>
        </w:tc>
      </w:tr>
      <w:tr w:rsidR="001004C1" w:rsidRPr="001004C1" w14:paraId="5EB75708" w14:textId="77777777" w:rsidTr="001004C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6C68D" w14:textId="77777777" w:rsidR="001004C1" w:rsidRPr="001004C1" w:rsidRDefault="001004C1" w:rsidP="001004C1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BCE9C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22A22" w14:textId="77777777" w:rsidR="001004C1" w:rsidRPr="001004C1" w:rsidRDefault="001004C1" w:rsidP="001004C1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004C1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9.625.000,00 €</w:t>
            </w:r>
          </w:p>
        </w:tc>
      </w:tr>
    </w:tbl>
    <w:p w14:paraId="3A92B156" w14:textId="77777777" w:rsidR="001004C1" w:rsidRPr="001004C1" w:rsidRDefault="001004C1" w:rsidP="001004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495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s-ES_tradnl"/>
          <w14:ligatures w14:val="none"/>
        </w:rPr>
        <w:lastRenderedPageBreak/>
        <w:t>Clasificación Económica:</w:t>
      </w:r>
    </w:p>
    <w:p w14:paraId="28AA0B82" w14:textId="77777777" w:rsidR="001004C1" w:rsidRPr="001004C1" w:rsidRDefault="001004C1" w:rsidP="001004C1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El concepto económico refleja la naturaleza del gasto previsto, sin consideración o con independencia del órgano a que corresponda, y de la función a que se destine. El número económico adoptado es de cinco niveles, indicando las tres primeras cifras el capítulo artículo y concepto; y las dos últimas el subconcepto y la partida respectivamente. La clasificación económica se detalla a nivel de partida (5 dígitos).</w:t>
      </w:r>
    </w:p>
    <w:p w14:paraId="1E8836D9" w14:textId="77777777" w:rsidR="001004C1" w:rsidRPr="001004C1" w:rsidRDefault="001004C1" w:rsidP="001004C1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eastAsia="es-ES_tradnl"/>
          <w14:ligatures w14:val="none"/>
        </w:rPr>
        <w:t>2. Estado de Ingresos</w:t>
      </w:r>
    </w:p>
    <w:p w14:paraId="6AACD448" w14:textId="77777777" w:rsidR="001004C1" w:rsidRPr="001004C1" w:rsidRDefault="001004C1" w:rsidP="001004C1">
      <w:pPr>
        <w:shd w:val="clear" w:color="auto" w:fill="FFFFFF"/>
        <w:spacing w:after="300" w:line="360" w:lineRule="atLeast"/>
        <w:jc w:val="both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La estructura del presupuesto de ingresos se configura por la categoría económica según se establece en la Orden HAP/419/2014, de 14 de marzo, por la que se modifica la Orden EHA/3565/2008, de 3 de diciembre, por la que se aprueba la estructura de los presupuestos de las entidades locales.</w:t>
      </w:r>
    </w:p>
    <w:p w14:paraId="0358C9DE" w14:textId="77777777" w:rsidR="001004C1" w:rsidRPr="001004C1" w:rsidRDefault="001004C1" w:rsidP="001004C1">
      <w:pPr>
        <w:shd w:val="clear" w:color="auto" w:fill="FFFFFF"/>
        <w:spacing w:after="210" w:line="405" w:lineRule="atLeast"/>
        <w:jc w:val="both"/>
        <w:outlineLvl w:val="3"/>
        <w:rPr>
          <w:rFonts w:ascii="inherit" w:eastAsia="Times New Roman" w:hAnsi="inherit" w:cs="Open Sans"/>
          <w:color w:val="333333"/>
          <w:kern w:val="0"/>
          <w:sz w:val="29"/>
          <w:szCs w:val="29"/>
          <w:lang w:eastAsia="es-ES_tradnl"/>
          <w14:ligatures w14:val="none"/>
        </w:rPr>
      </w:pPr>
      <w:r w:rsidRPr="001004C1">
        <w:rPr>
          <w:rFonts w:ascii="inherit" w:eastAsia="Times New Roman" w:hAnsi="inherit" w:cs="Open Sans"/>
          <w:color w:val="333333"/>
          <w:kern w:val="0"/>
          <w:sz w:val="29"/>
          <w:szCs w:val="29"/>
          <w:lang w:eastAsia="es-ES_tradnl"/>
          <w14:ligatures w14:val="none"/>
        </w:rPr>
        <w:t>Régimen Contable:</w:t>
      </w:r>
    </w:p>
    <w:p w14:paraId="0044F8DC" w14:textId="77777777" w:rsidR="001004C1" w:rsidRPr="001004C1" w:rsidRDefault="001004C1" w:rsidP="001004C1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1004C1">
        <w:rPr>
          <w:rFonts w:ascii="Open Sans" w:eastAsia="Times New Roman" w:hAnsi="Open Sans" w:cs="Open Sans"/>
          <w:i/>
          <w:iCs/>
          <w:color w:val="333333"/>
          <w:kern w:val="0"/>
          <w:sz w:val="21"/>
          <w:szCs w:val="21"/>
          <w:lang w:eastAsia="es-ES_tradnl"/>
          <w14:ligatures w14:val="none"/>
        </w:rPr>
        <w:t>ORDEN HAP/1781/2013</w:t>
      </w:r>
      <w:r w:rsidRPr="001004C1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, de 20 de septiembre, por la que se aprueba la Instrucción del Modelo Normal de Contabilidad Local.</w:t>
      </w:r>
    </w:p>
    <w:p w14:paraId="1736D924" w14:textId="77777777" w:rsidR="001004C1" w:rsidRDefault="001004C1"/>
    <w:sectPr w:rsidR="00100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722A"/>
    <w:multiLevelType w:val="multilevel"/>
    <w:tmpl w:val="F5A2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B647B"/>
    <w:multiLevelType w:val="multilevel"/>
    <w:tmpl w:val="0286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D1277"/>
    <w:multiLevelType w:val="multilevel"/>
    <w:tmpl w:val="28AE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05487"/>
    <w:multiLevelType w:val="multilevel"/>
    <w:tmpl w:val="FF5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04191"/>
    <w:multiLevelType w:val="multilevel"/>
    <w:tmpl w:val="30D0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6507409">
    <w:abstractNumId w:val="4"/>
  </w:num>
  <w:num w:numId="2" w16cid:durableId="581523158">
    <w:abstractNumId w:val="3"/>
  </w:num>
  <w:num w:numId="3" w16cid:durableId="149443446">
    <w:abstractNumId w:val="0"/>
  </w:num>
  <w:num w:numId="4" w16cid:durableId="467210019">
    <w:abstractNumId w:val="2"/>
  </w:num>
  <w:num w:numId="5" w16cid:durableId="1914122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C1"/>
    <w:rsid w:val="0010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23D4"/>
  <w15:chartTrackingRefBased/>
  <w15:docId w15:val="{0884D923-7203-4CBA-AB14-335F5A99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00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_tradnl"/>
      <w14:ligatures w14:val="none"/>
    </w:rPr>
  </w:style>
  <w:style w:type="paragraph" w:styleId="Ttulo4">
    <w:name w:val="heading 4"/>
    <w:basedOn w:val="Normal"/>
    <w:link w:val="Ttulo4Car"/>
    <w:uiPriority w:val="9"/>
    <w:qFormat/>
    <w:rsid w:val="00100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004C1"/>
    <w:rPr>
      <w:rFonts w:ascii="Times New Roman" w:eastAsia="Times New Roman" w:hAnsi="Times New Roman" w:cs="Times New Roman"/>
      <w:b/>
      <w:bCs/>
      <w:kern w:val="0"/>
      <w:sz w:val="36"/>
      <w:szCs w:val="36"/>
      <w:lang w:eastAsia="es-ES_tradnl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rsid w:val="001004C1"/>
    <w:rPr>
      <w:rFonts w:ascii="Times New Roman" w:eastAsia="Times New Roman" w:hAnsi="Times New Roman" w:cs="Times New Roman"/>
      <w:b/>
      <w:bCs/>
      <w:kern w:val="0"/>
      <w:sz w:val="24"/>
      <w:szCs w:val="24"/>
      <w:lang w:eastAsia="es-ES_tradnl"/>
      <w14:ligatures w14:val="none"/>
    </w:rPr>
  </w:style>
  <w:style w:type="paragraph" w:customStyle="1" w:styleId="text-align-right">
    <w:name w:val="text-align-right"/>
    <w:basedOn w:val="Normal"/>
    <w:rsid w:val="0010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styleId="nfasis">
    <w:name w:val="Emphasis"/>
    <w:basedOn w:val="Fuentedeprrafopredeter"/>
    <w:uiPriority w:val="20"/>
    <w:qFormat/>
    <w:rsid w:val="001004C1"/>
    <w:rPr>
      <w:i/>
      <w:iCs/>
    </w:rPr>
  </w:style>
  <w:style w:type="character" w:styleId="Textoennegrita">
    <w:name w:val="Strong"/>
    <w:basedOn w:val="Fuentedeprrafopredeter"/>
    <w:uiPriority w:val="22"/>
    <w:qFormat/>
    <w:rsid w:val="001004C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004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text-align-justify">
    <w:name w:val="text-align-justify"/>
    <w:basedOn w:val="Normal"/>
    <w:rsid w:val="0010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1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cias.juridicas.com/base_datos/Admin/rdleg2-2004.t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cias.juridicas.com/base_datos/Admin/rdleg2-2004.t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banismosantacruz.es/sites/default/files/Transparencia/Econ%C3%B3mica/PRESUPUESTOS/2021/PRESUPUESTOS/30_PRESUPUESTO_DE_INGRESOS_RESUMEN_POR_CAPITUO_2021.PDF" TargetMode="External"/><Relationship Id="rId5" Type="http://schemas.openxmlformats.org/officeDocument/2006/relationships/hyperlink" Target="https://www.urbanismosantacruz.es/es/miembros-del-consejo-rect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1</cp:revision>
  <dcterms:created xsi:type="dcterms:W3CDTF">2023-07-04T10:53:00Z</dcterms:created>
  <dcterms:modified xsi:type="dcterms:W3CDTF">2023-07-04T10:56:00Z</dcterms:modified>
</cp:coreProperties>
</file>